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5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15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15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15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15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15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15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15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15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15"/>
        <w:jc w:val="right"/>
        <w:rPr>
          <w:spacing w:val="40"/>
        </w:rPr>
      </w:pPr>
      <w:r>
        <w:rPr>
          <w:spacing w:val="40"/>
        </w:rPr>
      </w:r>
      <w:r/>
    </w:p>
    <w:p>
      <w:pPr>
        <w:pStyle w:val="815"/>
        <w:jc w:val="right"/>
        <w:rPr>
          <w:spacing w:val="40"/>
          <w:szCs w:val="28"/>
        </w:rPr>
      </w:pPr>
      <w:r>
        <w:rPr>
          <w:spacing w:val="40"/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jc w:val="both"/>
        <w:tabs>
          <w:tab w:val="left" w:pos="5670" w:leader="none"/>
        </w:tabs>
        <w:rPr>
          <w:b/>
          <w:szCs w:val="28"/>
        </w:rPr>
      </w:pPr>
      <w:r>
        <w:rPr>
          <w:szCs w:val="28"/>
        </w:rPr>
        <w:t xml:space="preserve">О распределении в 20</w:t>
      </w:r>
      <w:r>
        <w:rPr>
          <w:szCs w:val="28"/>
        </w:rPr>
        <w:t xml:space="preserve">23</w:t>
      </w:r>
      <w:r>
        <w:rPr>
          <w:szCs w:val="28"/>
        </w:rPr>
        <w:t xml:space="preserve"> году</w:t>
      </w:r>
      <w:r>
        <w:rPr>
          <w:bCs/>
          <w:szCs w:val="28"/>
        </w:rPr>
        <w:t xml:space="preserve"> субсиди</w:t>
      </w:r>
      <w:r>
        <w:rPr>
          <w:bCs/>
          <w:szCs w:val="28"/>
        </w:rPr>
        <w:t xml:space="preserve">й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за счет средств федерального и областного бюджетов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бюджет</w:t>
      </w:r>
      <w:r>
        <w:rPr>
          <w:bCs/>
          <w:szCs w:val="28"/>
        </w:rPr>
        <w:t xml:space="preserve">ам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муниципальн</w:t>
      </w:r>
      <w:r>
        <w:rPr>
          <w:bCs/>
          <w:szCs w:val="28"/>
        </w:rPr>
        <w:t xml:space="preserve">ых</w:t>
      </w:r>
      <w:r>
        <w:rPr>
          <w:bCs/>
          <w:szCs w:val="28"/>
        </w:rPr>
        <w:t xml:space="preserve"> образовани</w:t>
      </w:r>
      <w:r>
        <w:rPr>
          <w:bCs/>
          <w:szCs w:val="28"/>
        </w:rPr>
        <w:t xml:space="preserve">й </w:t>
      </w:r>
      <w:r>
        <w:rPr>
          <w:bCs/>
          <w:szCs w:val="28"/>
        </w:rPr>
        <w:t xml:space="preserve">Еврей</w:t>
      </w:r>
      <w:r>
        <w:rPr>
          <w:bCs/>
          <w:szCs w:val="28"/>
        </w:rPr>
        <w:t xml:space="preserve">ской автономной области </w:t>
      </w:r>
      <w:r>
        <w:rPr>
          <w:bCs/>
          <w:szCs w:val="28"/>
        </w:rPr>
        <w:t xml:space="preserve"> на обеспечение развития и укрепления материально-тех</w:t>
      </w:r>
      <w:r>
        <w:rPr>
          <w:bCs/>
          <w:szCs w:val="28"/>
        </w:rPr>
        <w:t xml:space="preserve">нической базы домов культуры </w:t>
      </w:r>
      <w:r>
        <w:rPr>
          <w:szCs w:val="28"/>
          <w:lang w:eastAsia="en-US"/>
        </w:rPr>
        <w:t xml:space="preserve">в населенных пунктах </w:t>
      </w:r>
      <w:bookmarkStart w:id="0" w:name="_Hlk66373128"/>
      <w:r>
        <w:rPr>
          <w:szCs w:val="28"/>
          <w:lang w:eastAsia="en-US"/>
        </w:rPr>
        <w:t xml:space="preserve">с </w:t>
      </w:r>
      <w:r>
        <w:rPr>
          <w:szCs w:val="28"/>
          <w:lang w:eastAsia="en-US"/>
        </w:rPr>
        <w:t xml:space="preserve">числ</w:t>
      </w:r>
      <w:r>
        <w:rPr>
          <w:szCs w:val="28"/>
          <w:lang w:eastAsia="en-US"/>
        </w:rPr>
        <w:t xml:space="preserve">ом</w:t>
      </w: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жителей</w:t>
      </w:r>
      <w:r>
        <w:rPr>
          <w:szCs w:val="28"/>
          <w:lang w:eastAsia="en-US"/>
        </w:rPr>
        <w:t xml:space="preserve"> </w:t>
      </w:r>
      <w:bookmarkEnd w:id="0"/>
      <w:r>
        <w:rPr>
          <w:szCs w:val="28"/>
          <w:lang w:eastAsia="en-US"/>
        </w:rPr>
        <w:t xml:space="preserve">до 50 тысяч человек</w:t>
      </w:r>
      <w:r/>
    </w:p>
    <w:p>
      <w:pPr>
        <w:pStyle w:val="814"/>
        <w:jc w:val="both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ind w:firstLine="720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</w:r>
      <w:r/>
    </w:p>
    <w:p>
      <w:pPr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правительства Еврейской автономной области от 28.12.2017 № 546-пп «</w:t>
      </w:r>
      <w:r>
        <w:rPr>
          <w:szCs w:val="28"/>
        </w:rPr>
        <w:t xml:space="preserve">Об утверждении </w:t>
      </w:r>
      <w:r>
        <w:rPr>
          <w:szCs w:val="28"/>
        </w:rPr>
        <w:t xml:space="preserve">П</w:t>
      </w:r>
      <w:bookmarkStart w:id="1" w:name="_GoBack"/>
      <w:r/>
      <w:bookmarkEnd w:id="1"/>
      <w:r>
        <w:rPr>
          <w:szCs w:val="28"/>
        </w:rPr>
        <w:t xml:space="preserve">орядка предоставления бюджет</w:t>
      </w:r>
      <w:r>
        <w:rPr>
          <w:szCs w:val="28"/>
        </w:rPr>
        <w:t xml:space="preserve">ам муниципальных образований Еврейской автономной области субсидий за счет средств федерального и областного бюджетов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szCs w:val="28"/>
        </w:rPr>
        <w:t xml:space="preserve">»</w:t>
      </w:r>
      <w:r>
        <w:rPr>
          <w:szCs w:val="28"/>
        </w:rPr>
        <w:t xml:space="preserve"> и протоколом заседания комиссии конкурсного отбора среди муниципальных образований Евре</w:t>
      </w:r>
      <w:r>
        <w:rPr>
          <w:szCs w:val="28"/>
        </w:rPr>
        <w:t xml:space="preserve">йской автономной области по развитию и укреплению материально-технической базы, проведению текущих ремонтных работ муниципальных домов культуры (и их филиалов), расположенных в населенных пунктах с числом жителей до 50 тысяч человек в 2023 году </w:t>
      </w:r>
      <w:r>
        <w:rPr>
          <w:szCs w:val="28"/>
        </w:rPr>
        <w:t xml:space="preserve">от 16.11.2022 № 1</w:t>
      </w:r>
      <w:r>
        <w:rPr>
          <w:szCs w:val="28"/>
        </w:rPr>
        <w:t xml:space="preserve">: </w:t>
      </w:r>
      <w:r/>
    </w:p>
    <w:p>
      <w:pPr>
        <w:ind w:firstLine="720"/>
        <w:jc w:val="both"/>
        <w:tabs>
          <w:tab w:val="left" w:pos="5670" w:leader="none"/>
        </w:tabs>
        <w:rPr>
          <w:szCs w:val="28"/>
        </w:rPr>
      </w:pPr>
      <w:r>
        <w:rPr>
          <w:szCs w:val="28"/>
        </w:rPr>
        <w:t xml:space="preserve">1. </w:t>
      </w:r>
      <w:r>
        <w:rPr>
          <w:szCs w:val="28"/>
        </w:rPr>
        <w:t xml:space="preserve">Утвердить прилагаемое распределение в 20</w:t>
      </w:r>
      <w:r>
        <w:rPr>
          <w:szCs w:val="28"/>
        </w:rPr>
        <w:t xml:space="preserve">23</w:t>
      </w:r>
      <w:r>
        <w:rPr>
          <w:szCs w:val="28"/>
        </w:rPr>
        <w:t xml:space="preserve"> году</w:t>
      </w:r>
      <w:r>
        <w:rPr>
          <w:szCs w:val="28"/>
        </w:rPr>
        <w:t xml:space="preserve"> субсидий за счет средств федерального и областного бюджетов</w:t>
      </w:r>
      <w:r>
        <w:rPr>
          <w:szCs w:val="28"/>
        </w:rPr>
        <w:t xml:space="preserve"> бюджетам муниципальных образований Еврейской автономной области  на обеспечение развития и укрепления материально-технической ба</w:t>
      </w:r>
      <w:r>
        <w:rPr>
          <w:szCs w:val="28"/>
        </w:rPr>
        <w:t xml:space="preserve">зы домов культуры </w:t>
      </w:r>
      <w:r>
        <w:rPr>
          <w:szCs w:val="28"/>
          <w:lang w:eastAsia="en-US"/>
        </w:rPr>
        <w:t xml:space="preserve">в населенных пунктах </w:t>
      </w:r>
      <w:r>
        <w:rPr>
          <w:szCs w:val="28"/>
          <w:lang w:eastAsia="en-US"/>
        </w:rPr>
        <w:t xml:space="preserve">с </w:t>
      </w:r>
      <w:r>
        <w:rPr>
          <w:szCs w:val="28"/>
          <w:lang w:eastAsia="en-US"/>
        </w:rPr>
        <w:t xml:space="preserve">числом жителей </w:t>
      </w:r>
      <w:r>
        <w:rPr>
          <w:szCs w:val="28"/>
          <w:lang w:eastAsia="en-US"/>
        </w:rPr>
        <w:t xml:space="preserve">до 50 тысяч </w:t>
      </w:r>
      <w:r>
        <w:rPr>
          <w:szCs w:val="28"/>
          <w:lang w:eastAsia="en-US"/>
        </w:rPr>
        <w:t xml:space="preserve">человек</w:t>
      </w:r>
      <w:r>
        <w:rPr>
          <w:szCs w:val="28"/>
        </w:rPr>
        <w:t xml:space="preserve">.</w:t>
      </w:r>
      <w:r>
        <w:rPr>
          <w:szCs w:val="28"/>
        </w:rPr>
        <w:t xml:space="preserve"> </w:t>
      </w:r>
      <w:r/>
    </w:p>
    <w:p>
      <w:pPr>
        <w:ind w:firstLine="720"/>
        <w:jc w:val="both"/>
      </w:pPr>
      <w:r>
        <w:rPr>
          <w:szCs w:val="28"/>
        </w:rPr>
        <w:t xml:space="preserve">2. </w:t>
      </w:r>
      <w:r>
        <w:rPr>
          <w:szCs w:val="28"/>
        </w:rPr>
        <w:t xml:space="preserve">Настоящее распоряжение вступает в силу со дня его подписания</w:t>
      </w:r>
      <w:r>
        <w:rPr>
          <w:szCs w:val="28"/>
        </w:rPr>
        <w:t xml:space="preserve">.</w:t>
      </w:r>
      <w:r/>
    </w:p>
    <w:p>
      <w:pPr>
        <w:ind w:firstLine="720"/>
        <w:jc w:val="both"/>
      </w:pPr>
      <w:r/>
      <w:r/>
    </w:p>
    <w:p>
      <w:pPr>
        <w:ind w:firstLine="720"/>
        <w:jc w:val="both"/>
      </w:pPr>
      <w:r/>
      <w:r/>
    </w:p>
    <w:p>
      <w:pPr>
        <w:jc w:val="both"/>
      </w:pPr>
      <w:r/>
      <w:r/>
    </w:p>
    <w:p>
      <w:pPr>
        <w:jc w:val="both"/>
        <w:rPr>
          <w:szCs w:val="20"/>
        </w:rPr>
      </w:pPr>
      <w:r>
        <w:rPr>
          <w:szCs w:val="20"/>
        </w:rPr>
        <w:t xml:space="preserve">Г</w:t>
      </w:r>
      <w:r>
        <w:rPr>
          <w:szCs w:val="20"/>
        </w:rPr>
        <w:t xml:space="preserve">убернатор</w:t>
      </w:r>
      <w:r>
        <w:rPr>
          <w:szCs w:val="20"/>
        </w:rPr>
        <w:t xml:space="preserve"> области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</w:t>
      </w:r>
      <w:r>
        <w:rPr>
          <w:szCs w:val="20"/>
        </w:rPr>
        <w:t xml:space="preserve">                     Р.Э. Гольдштейн</w:t>
      </w:r>
      <w:r/>
    </w:p>
    <w:p>
      <w:pPr>
        <w:jc w:val="both"/>
        <w:rPr>
          <w:color w:val="000000"/>
          <w:szCs w:val="28"/>
        </w:rPr>
      </w:pPr>
      <w:r>
        <w:rPr>
          <w:color w:val="000000"/>
          <w:szCs w:val="28"/>
        </w:rPr>
      </w:r>
      <w:r/>
    </w:p>
    <w:p>
      <w:pPr>
        <w:rPr>
          <w:szCs w:val="28"/>
        </w:rPr>
      </w:pPr>
      <w:r>
        <w:rPr>
          <w:szCs w:val="28"/>
        </w:rPr>
        <w:br w:type="page" w:clear="all"/>
      </w:r>
      <w:r/>
    </w:p>
    <w:p>
      <w:pPr>
        <w:ind w:left="5387"/>
        <w:jc w:val="both"/>
        <w:rPr>
          <w:szCs w:val="28"/>
        </w:rPr>
        <w:outlineLvl w:val="0"/>
      </w:pPr>
      <w:r>
        <w:rPr>
          <w:szCs w:val="28"/>
        </w:rPr>
        <w:t xml:space="preserve">УТВЕРЖДЕН</w:t>
      </w:r>
      <w:r>
        <w:rPr>
          <w:szCs w:val="28"/>
        </w:rPr>
        <w:t xml:space="preserve">О</w:t>
      </w:r>
      <w:r/>
    </w:p>
    <w:p>
      <w:pPr>
        <w:ind w:left="5387"/>
        <w:jc w:val="both"/>
        <w:rPr>
          <w:szCs w:val="28"/>
        </w:rPr>
        <w:outlineLvl w:val="0"/>
      </w:pPr>
      <w:r>
        <w:rPr>
          <w:szCs w:val="28"/>
        </w:rPr>
      </w:r>
      <w:r/>
    </w:p>
    <w:p>
      <w:pPr>
        <w:ind w:left="5387"/>
        <w:jc w:val="both"/>
        <w:rPr>
          <w:szCs w:val="28"/>
        </w:rPr>
      </w:pPr>
      <w:r>
        <w:rPr>
          <w:szCs w:val="28"/>
        </w:rPr>
        <w:t xml:space="preserve">Распоряжением</w:t>
      </w:r>
      <w:r>
        <w:rPr>
          <w:szCs w:val="28"/>
        </w:rPr>
        <w:t xml:space="preserve"> правительства</w:t>
      </w:r>
      <w:r/>
    </w:p>
    <w:p>
      <w:pPr>
        <w:ind w:left="5387"/>
        <w:jc w:val="both"/>
        <w:rPr>
          <w:szCs w:val="28"/>
        </w:rPr>
      </w:pPr>
      <w:r>
        <w:rPr>
          <w:szCs w:val="28"/>
        </w:rPr>
        <w:t xml:space="preserve">Еврейской автономной области</w:t>
      </w:r>
      <w:r/>
    </w:p>
    <w:p>
      <w:pPr>
        <w:ind w:left="5387"/>
        <w:jc w:val="both"/>
        <w:rPr>
          <w:szCs w:val="28"/>
        </w:rPr>
      </w:pPr>
      <w:r>
        <w:rPr>
          <w:szCs w:val="28"/>
        </w:rPr>
        <w:t xml:space="preserve">от _________________ № ____</w:t>
      </w:r>
      <w:r/>
    </w:p>
    <w:p>
      <w:pPr>
        <w:ind w:left="5400"/>
        <w:jc w:val="both"/>
        <w:rPr>
          <w:szCs w:val="28"/>
        </w:rPr>
      </w:pPr>
      <w:r>
        <w:rPr>
          <w:szCs w:val="28"/>
        </w:rPr>
      </w:r>
      <w:r/>
    </w:p>
    <w:p>
      <w:pPr>
        <w:ind w:left="5400"/>
        <w:jc w:val="both"/>
        <w:rPr>
          <w:szCs w:val="28"/>
        </w:rPr>
      </w:pPr>
      <w:r>
        <w:rPr>
          <w:szCs w:val="28"/>
        </w:rPr>
      </w:r>
      <w:r/>
    </w:p>
    <w:p>
      <w:pPr>
        <w:jc w:val="center"/>
        <w:tabs>
          <w:tab w:val="left" w:pos="9356" w:leader="none"/>
        </w:tabs>
        <w:rPr>
          <w:szCs w:val="28"/>
          <w:lang w:eastAsia="en-US"/>
        </w:rPr>
        <w:outlineLvl w:val="0"/>
      </w:pPr>
      <w:r>
        <w:rPr>
          <w:szCs w:val="28"/>
          <w:lang w:eastAsia="en-US"/>
        </w:rPr>
        <w:t xml:space="preserve">Распределение</w:t>
      </w:r>
      <w:r/>
    </w:p>
    <w:p>
      <w:pPr>
        <w:jc w:val="center"/>
        <w:tabs>
          <w:tab w:val="left" w:pos="9356" w:leader="none"/>
        </w:tabs>
        <w:rPr>
          <w:szCs w:val="28"/>
        </w:rPr>
        <w:outlineLvl w:val="0"/>
      </w:pPr>
      <w:r>
        <w:rPr>
          <w:szCs w:val="28"/>
        </w:rPr>
        <w:t xml:space="preserve">в 20</w:t>
      </w:r>
      <w:r>
        <w:rPr>
          <w:szCs w:val="28"/>
        </w:rPr>
        <w:t xml:space="preserve">2</w:t>
      </w:r>
      <w:r>
        <w:rPr>
          <w:szCs w:val="28"/>
        </w:rPr>
        <w:t xml:space="preserve">3</w:t>
      </w:r>
      <w:r>
        <w:rPr>
          <w:szCs w:val="28"/>
        </w:rPr>
        <w:t xml:space="preserve"> году</w:t>
      </w:r>
      <w:r>
        <w:rPr>
          <w:szCs w:val="28"/>
        </w:rPr>
        <w:t xml:space="preserve"> субсидий за счет средств федерального и областного бюджетов</w:t>
      </w:r>
      <w:r>
        <w:rPr>
          <w:szCs w:val="28"/>
        </w:rPr>
        <w:t xml:space="preserve"> бюджетам муниципальных образований Еврейской автономной области  на обеспечение развития и укрепления материально-технической ба</w:t>
      </w:r>
      <w:r>
        <w:rPr>
          <w:szCs w:val="28"/>
        </w:rPr>
        <w:t xml:space="preserve">зы домов культуры </w:t>
      </w:r>
      <w:r>
        <w:rPr>
          <w:szCs w:val="28"/>
          <w:lang w:eastAsia="en-US"/>
        </w:rPr>
        <w:t xml:space="preserve">в населенных пунктах </w:t>
      </w:r>
      <w:r>
        <w:rPr>
          <w:szCs w:val="28"/>
          <w:lang w:eastAsia="en-US"/>
        </w:rPr>
        <w:br/>
      </w:r>
      <w:r>
        <w:rPr>
          <w:szCs w:val="28"/>
          <w:lang w:eastAsia="en-US"/>
        </w:rPr>
        <w:t xml:space="preserve">с </w:t>
      </w:r>
      <w:r>
        <w:rPr>
          <w:szCs w:val="28"/>
          <w:lang w:eastAsia="en-US"/>
        </w:rPr>
        <w:t xml:space="preserve">числом жителей </w:t>
      </w:r>
      <w:r>
        <w:rPr>
          <w:szCs w:val="28"/>
          <w:lang w:eastAsia="en-US"/>
        </w:rPr>
        <w:t xml:space="preserve">до 50 тысяч </w:t>
      </w:r>
      <w:r>
        <w:rPr>
          <w:szCs w:val="28"/>
          <w:lang w:eastAsia="en-US"/>
        </w:rPr>
        <w:t xml:space="preserve">человек</w:t>
      </w:r>
      <w:r/>
    </w:p>
    <w:p>
      <w:pPr>
        <w:jc w:val="center"/>
        <w:tabs>
          <w:tab w:val="left" w:pos="9356" w:leader="none"/>
        </w:tabs>
        <w:rPr>
          <w:szCs w:val="28"/>
          <w:lang w:eastAsia="en-US"/>
        </w:rPr>
        <w:outlineLvl w:val="0"/>
      </w:pPr>
      <w:r>
        <w:rPr>
          <w:szCs w:val="28"/>
          <w:lang w:eastAsia="en-US"/>
        </w:rPr>
      </w:r>
      <w:r/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09"/>
        <w:gridCol w:w="6449"/>
        <w:gridCol w:w="2198"/>
      </w:tblGrid>
      <w:tr>
        <w:trPr>
          <w:trHeight w:val="322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№ п/п</w:t>
            </w:r>
            <w:r/>
          </w:p>
        </w:tc>
        <w:tc>
          <w:tcPr>
            <w:tcW w:w="6449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Наименование муниципального образования </w:t>
            </w:r>
            <w:r>
              <w:rPr>
                <w:szCs w:val="28"/>
                <w:lang w:eastAsia="en-US"/>
              </w:rPr>
              <w:br/>
              <w:t xml:space="preserve">Еврейской автономной области</w:t>
            </w:r>
            <w:r/>
          </w:p>
        </w:tc>
        <w:tc>
          <w:tcPr>
            <w:tcW w:w="2198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Сумма,</w:t>
            </w:r>
            <w:r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руб.</w:t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1</w:t>
            </w:r>
            <w:r/>
          </w:p>
        </w:tc>
        <w:tc>
          <w:tcPr>
            <w:tcW w:w="6449" w:type="dxa"/>
            <w:vAlign w:val="bottom"/>
            <w:textDirection w:val="lrTb"/>
            <w:noWrap w:val="false"/>
          </w:tcPr>
          <w:p>
            <w:pPr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Октябрьский муниципальный район </w:t>
            </w:r>
            <w:r/>
          </w:p>
        </w:tc>
        <w:tc>
          <w:tcPr>
            <w:tcW w:w="21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778 222,22</w:t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2</w:t>
            </w:r>
            <w:r/>
          </w:p>
        </w:tc>
        <w:tc>
          <w:tcPr>
            <w:tcW w:w="6449" w:type="dxa"/>
            <w:vAlign w:val="bottom"/>
            <w:textDirection w:val="lrTb"/>
            <w:noWrap w:val="false"/>
          </w:tcPr>
          <w:p>
            <w:pPr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Ленинский муниципальный район </w:t>
            </w:r>
            <w:r/>
          </w:p>
        </w:tc>
        <w:tc>
          <w:tcPr>
            <w:tcW w:w="21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 xml:space="preserve">777 777,77</w:t>
            </w:r>
            <w:r>
              <w:rPr>
                <w:color w:val="000000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3</w:t>
            </w:r>
            <w:r/>
          </w:p>
        </w:tc>
        <w:tc>
          <w:tcPr>
            <w:tcW w:w="6449" w:type="dxa"/>
            <w:vAlign w:val="bottom"/>
            <w:textDirection w:val="lrTb"/>
            <w:noWrap w:val="false"/>
          </w:tcPr>
          <w:p>
            <w:pPr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Бир</w:t>
            </w:r>
            <w:r>
              <w:rPr>
                <w:bCs/>
                <w:color w:val="000000"/>
                <w:szCs w:val="28"/>
                <w:lang w:eastAsia="en-US"/>
              </w:rPr>
              <w:t xml:space="preserve">обиджанский</w:t>
            </w:r>
            <w:r>
              <w:rPr>
                <w:bCs/>
                <w:color w:val="000000"/>
                <w:szCs w:val="28"/>
                <w:lang w:eastAsia="en-US"/>
              </w:rPr>
              <w:t xml:space="preserve"> муниципальный</w:t>
            </w:r>
            <w:r>
              <w:rPr>
                <w:bCs/>
                <w:color w:val="000000"/>
                <w:szCs w:val="28"/>
                <w:lang w:eastAsia="en-US"/>
              </w:rPr>
              <w:t xml:space="preserve"> район</w:t>
            </w:r>
            <w:r/>
          </w:p>
        </w:tc>
        <w:tc>
          <w:tcPr>
            <w:tcW w:w="21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444 444,44</w:t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4</w:t>
            </w:r>
            <w:r/>
          </w:p>
        </w:tc>
        <w:tc>
          <w:tcPr>
            <w:tcW w:w="6449" w:type="dxa"/>
            <w:vAlign w:val="bottom"/>
            <w:textDirection w:val="lrTb"/>
            <w:noWrap w:val="false"/>
          </w:tcPr>
          <w:p>
            <w:pPr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Смидовичский</w:t>
            </w:r>
            <w:r>
              <w:t xml:space="preserve"> </w:t>
            </w:r>
            <w:r>
              <w:rPr>
                <w:bCs/>
                <w:color w:val="000000"/>
                <w:szCs w:val="28"/>
                <w:lang w:eastAsia="en-US"/>
              </w:rPr>
              <w:t xml:space="preserve">муниципальный район</w:t>
            </w:r>
            <w:r/>
          </w:p>
        </w:tc>
        <w:tc>
          <w:tcPr>
            <w:tcW w:w="21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555 555,56</w:t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5</w:t>
            </w:r>
            <w:r/>
          </w:p>
        </w:tc>
        <w:tc>
          <w:tcPr>
            <w:tcW w:w="6449" w:type="dxa"/>
            <w:vAlign w:val="bottom"/>
            <w:textDirection w:val="lrTb"/>
            <w:noWrap w:val="false"/>
          </w:tcPr>
          <w:p>
            <w:pPr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 xml:space="preserve">Облученский</w:t>
            </w:r>
            <w:r>
              <w:rPr>
                <w:bCs/>
                <w:color w:val="000000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/>
                <w:szCs w:val="28"/>
                <w:lang w:eastAsia="en-US"/>
              </w:rPr>
              <w:t xml:space="preserve">муниципальный район</w:t>
            </w:r>
            <w:r/>
          </w:p>
        </w:tc>
        <w:tc>
          <w:tcPr>
            <w:tcW w:w="21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723 333,33</w:t>
            </w:r>
            <w:r/>
          </w:p>
        </w:tc>
      </w:tr>
      <w:tr>
        <w:trPr/>
        <w:tc>
          <w:tcPr>
            <w:gridSpan w:val="2"/>
            <w:tcW w:w="7158" w:type="dxa"/>
            <w:textDirection w:val="lrTb"/>
            <w:noWrap w:val="false"/>
          </w:tcPr>
          <w:p>
            <w:pPr>
              <w:tabs>
                <w:tab w:val="left" w:pos="9356" w:leader="none"/>
              </w:tabs>
              <w:rPr>
                <w:szCs w:val="28"/>
                <w:lang w:eastAsia="en-US"/>
              </w:rPr>
              <w:outlineLvl w:val="0"/>
            </w:pPr>
            <w:r>
              <w:rPr>
                <w:szCs w:val="28"/>
                <w:lang w:eastAsia="en-US"/>
              </w:rPr>
              <w:t xml:space="preserve">Итого</w:t>
            </w:r>
            <w:r/>
          </w:p>
        </w:tc>
        <w:tc>
          <w:tcPr>
            <w:tcW w:w="219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</w:t>
            </w:r>
            <w:r>
              <w:rPr>
                <w:color w:val="000000"/>
                <w:szCs w:val="28"/>
              </w:rPr>
              <w:t xml:space="preserve"> </w:t>
            </w:r>
            <w:r>
              <w:rPr>
                <w:color w:val="000000"/>
                <w:szCs w:val="28"/>
              </w:rPr>
              <w:t xml:space="preserve">279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333,</w:t>
            </w:r>
            <w:r>
              <w:rPr>
                <w:color w:val="000000"/>
                <w:szCs w:val="28"/>
              </w:rPr>
              <w:t xml:space="preserve">32</w:t>
            </w:r>
            <w:r/>
          </w:p>
        </w:tc>
      </w:tr>
    </w:tbl>
    <w:p>
      <w:pPr>
        <w:jc w:val="center"/>
        <w:tabs>
          <w:tab w:val="left" w:pos="9356" w:leader="none"/>
        </w:tabs>
        <w:rPr>
          <w:szCs w:val="28"/>
          <w:lang w:eastAsia="en-US"/>
        </w:rPr>
        <w:outlineLvl w:val="0"/>
      </w:pPr>
      <w:r>
        <w:rPr>
          <w:szCs w:val="28"/>
          <w:lang w:eastAsia="en-US"/>
        </w:rPr>
      </w:r>
      <w:r/>
    </w:p>
    <w:p>
      <w:pPr>
        <w:jc w:val="center"/>
        <w:rPr>
          <w:szCs w:val="28"/>
          <w:lang w:eastAsia="en-US"/>
        </w:rPr>
        <w:outlineLvl w:val="0"/>
      </w:pP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/>
    </w:p>
    <w:p>
      <w:pPr>
        <w:ind w:firstLine="720"/>
        <w:rPr>
          <w:szCs w:val="28"/>
        </w:rPr>
      </w:pPr>
      <w:r>
        <w:rPr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p>
      <w:r/>
      <w:r/>
    </w:p>
    <w:p>
      <w:r/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1" w:bottom="1134" w:left="1758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8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1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1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1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1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1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1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1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1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1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0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0"/>
    <w:next w:val="810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1"/>
    <w:link w:val="654"/>
    <w:uiPriority w:val="10"/>
    <w:rPr>
      <w:sz w:val="48"/>
      <w:szCs w:val="48"/>
    </w:rPr>
  </w:style>
  <w:style w:type="paragraph" w:styleId="656">
    <w:name w:val="Subtitle"/>
    <w:basedOn w:val="810"/>
    <w:next w:val="810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1"/>
    <w:link w:val="656"/>
    <w:uiPriority w:val="11"/>
    <w:rPr>
      <w:sz w:val="24"/>
      <w:szCs w:val="24"/>
    </w:rPr>
  </w:style>
  <w:style w:type="paragraph" w:styleId="658">
    <w:name w:val="Quote"/>
    <w:basedOn w:val="810"/>
    <w:next w:val="810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0"/>
    <w:next w:val="810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character" w:styleId="662">
    <w:name w:val="Header Char"/>
    <w:basedOn w:val="811"/>
    <w:link w:val="820"/>
    <w:uiPriority w:val="99"/>
  </w:style>
  <w:style w:type="character" w:styleId="663">
    <w:name w:val="Footer Char"/>
    <w:basedOn w:val="811"/>
    <w:link w:val="818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818"/>
    <w:uiPriority w:val="99"/>
  </w:style>
  <w:style w:type="table" w:styleId="666">
    <w:name w:val="Table Grid"/>
    <w:basedOn w:val="81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1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1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  <w:rPr>
      <w:szCs w:val="24"/>
      <w:lang w:eastAsia="ru-RU"/>
    </w:rPr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paragraph" w:styleId="814" w:customStyle="1">
    <w:name w:val="ConsPlusTitle"/>
    <w:pPr>
      <w:widowControl w:val="off"/>
    </w:pPr>
    <w:rPr>
      <w:rFonts w:ascii="Arial" w:hAnsi="Arial" w:cs="Arial"/>
      <w:b/>
      <w:bCs/>
      <w:sz w:val="20"/>
      <w:szCs w:val="20"/>
      <w:lang w:eastAsia="ru-RU"/>
    </w:rPr>
  </w:style>
  <w:style w:type="paragraph" w:styleId="815">
    <w:name w:val="Body Text"/>
    <w:basedOn w:val="810"/>
    <w:link w:val="816"/>
    <w:uiPriority w:val="99"/>
    <w:pPr>
      <w:jc w:val="both"/>
    </w:pPr>
  </w:style>
  <w:style w:type="character" w:styleId="816" w:customStyle="1">
    <w:name w:val="Основной текст Знак"/>
    <w:basedOn w:val="811"/>
    <w:link w:val="815"/>
    <w:uiPriority w:val="99"/>
    <w:rPr>
      <w:rFonts w:eastAsia="Times New Roman" w:cs="Times New Roman"/>
      <w:sz w:val="24"/>
      <w:szCs w:val="24"/>
      <w:lang w:eastAsia="ru-RU"/>
    </w:rPr>
  </w:style>
  <w:style w:type="paragraph" w:styleId="817" w:customStyle="1">
    <w:name w:val="ConsPlusNormal"/>
    <w:pPr>
      <w:ind w:firstLine="720"/>
      <w:widowControl w:val="off"/>
    </w:pPr>
    <w:rPr>
      <w:rFonts w:ascii="Arial" w:hAnsi="Arial" w:cs="Arial"/>
      <w:sz w:val="20"/>
      <w:szCs w:val="20"/>
      <w:lang w:eastAsia="ru-RU"/>
    </w:rPr>
  </w:style>
  <w:style w:type="paragraph" w:styleId="818">
    <w:name w:val="Footer"/>
    <w:basedOn w:val="810"/>
    <w:link w:val="819"/>
    <w:uiPriority w:val="99"/>
    <w:pPr>
      <w:tabs>
        <w:tab w:val="center" w:pos="4677" w:leader="none"/>
        <w:tab w:val="right" w:pos="9355" w:leader="none"/>
      </w:tabs>
    </w:pPr>
  </w:style>
  <w:style w:type="character" w:styleId="819" w:customStyle="1">
    <w:name w:val="Нижний колонтитул Знак"/>
    <w:basedOn w:val="811"/>
    <w:link w:val="818"/>
    <w:uiPriority w:val="99"/>
    <w:rPr>
      <w:rFonts w:eastAsia="Times New Roman" w:cs="Times New Roman"/>
      <w:sz w:val="24"/>
      <w:szCs w:val="24"/>
      <w:lang w:eastAsia="ru-RU"/>
    </w:rPr>
  </w:style>
  <w:style w:type="paragraph" w:styleId="820">
    <w:name w:val="Header"/>
    <w:basedOn w:val="810"/>
    <w:link w:val="82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21" w:customStyle="1">
    <w:name w:val="Верхний колонтитул Знак"/>
    <w:basedOn w:val="811"/>
    <w:link w:val="820"/>
    <w:uiPriority w:val="99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Управление культуры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АнтошинаНаталья Викторовна</dc:creator>
  <cp:revision>7</cp:revision>
  <dcterms:created xsi:type="dcterms:W3CDTF">2022-02-18T05:30:00Z</dcterms:created>
  <dcterms:modified xsi:type="dcterms:W3CDTF">2023-01-25T03:32:14Z</dcterms:modified>
</cp:coreProperties>
</file>